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C435" w14:textId="26C73046" w:rsidR="00444B1B" w:rsidRPr="00444B1B" w:rsidRDefault="00FB7BB5" w:rsidP="00444B1B">
      <w:pPr>
        <w:rPr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val="en-US" w:eastAsia="ru-RU"/>
          <w14:ligatures w14:val="none"/>
        </w:rPr>
        <w:t xml:space="preserve">Spin-directional coupling in hyperbolic shear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val="en-US" w:eastAsia="ru-RU"/>
          <w14:ligatures w14:val="none"/>
        </w:rPr>
        <w:t>metasurfaces</w:t>
      </w:r>
      <w:proofErr w:type="spellEnd"/>
    </w:p>
    <w:p w14:paraId="5087068E" w14:textId="3DCFDDF7" w:rsidR="00444B1B" w:rsidRPr="007D0732" w:rsidRDefault="00444B1B" w:rsidP="007D0732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44B1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Author</w:t>
      </w:r>
      <w:r w:rsidR="007D073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444B1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D07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7D0732">
        <w:rPr>
          <w:rFonts w:ascii="Times New Roman" w:hAnsi="Times New Roman" w:cs="Times New Roman"/>
          <w:sz w:val="28"/>
          <w:szCs w:val="28"/>
          <w:lang w:val="en-US" w:eastAsia="ru-RU"/>
        </w:rPr>
        <w:t>V.Batianova</w:t>
      </w:r>
      <w:proofErr w:type="spellEnd"/>
      <w:proofErr w:type="gramEnd"/>
      <w:r w:rsidR="007D0732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  <w:r w:rsidRPr="00444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0732" w:rsidRPr="00444B1B">
        <w:rPr>
          <w:rFonts w:ascii="Times New Roman" w:hAnsi="Times New Roman" w:cs="Times New Roman"/>
          <w:sz w:val="28"/>
          <w:szCs w:val="28"/>
        </w:rPr>
        <w:t xml:space="preserve">O. </w:t>
      </w:r>
      <w:proofErr w:type="spellStart"/>
      <w:r w:rsidR="007D0732" w:rsidRPr="00444B1B">
        <w:rPr>
          <w:rFonts w:ascii="Times New Roman" w:hAnsi="Times New Roman" w:cs="Times New Roman"/>
          <w:sz w:val="28"/>
          <w:szCs w:val="28"/>
        </w:rPr>
        <w:t>Yermakov</w:t>
      </w:r>
      <w:proofErr w:type="spellEnd"/>
      <w:r w:rsidR="007D0732" w:rsidRPr="00444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0732" w:rsidRPr="00444B1B">
        <w:rPr>
          <w:rFonts w:ascii="Times New Roman" w:hAnsi="Times New Roman" w:cs="Times New Roman"/>
          <w:sz w:val="28"/>
          <w:szCs w:val="28"/>
          <w:vertAlign w:val="superscript"/>
        </w:rPr>
        <w:t>1,</w:t>
      </w:r>
      <w:r w:rsidR="007D073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</w:p>
    <w:p w14:paraId="6713592A" w14:textId="421B104C" w:rsidR="00444B1B" w:rsidRPr="00444B1B" w:rsidRDefault="00444B1B" w:rsidP="00444B1B">
      <w:pPr>
        <w:pStyle w:val="Organizations"/>
        <w:jc w:val="left"/>
        <w:rPr>
          <w:sz w:val="28"/>
          <w:szCs w:val="28"/>
        </w:rPr>
      </w:pPr>
      <w:bookmarkStart w:id="0" w:name="_Toc375574786"/>
      <w:bookmarkStart w:id="1" w:name="_Toc375575328"/>
      <w:bookmarkStart w:id="2" w:name="_Toc375575731"/>
      <w:bookmarkStart w:id="3" w:name="_Toc375577183"/>
      <w:bookmarkStart w:id="4" w:name="_Toc375650411"/>
      <w:r w:rsidRPr="00444B1B">
        <w:rPr>
          <w:sz w:val="28"/>
          <w:szCs w:val="28"/>
          <w:vertAlign w:val="superscript"/>
        </w:rPr>
        <w:t>1</w:t>
      </w:r>
      <w:bookmarkEnd w:id="0"/>
      <w:bookmarkEnd w:id="1"/>
      <w:bookmarkEnd w:id="2"/>
      <w:bookmarkEnd w:id="3"/>
      <w:bookmarkEnd w:id="4"/>
      <w:r w:rsidRPr="00444B1B">
        <w:rPr>
          <w:sz w:val="28"/>
          <w:szCs w:val="28"/>
        </w:rPr>
        <w:t xml:space="preserve"> V. N. Karazin National University, Kharkiv, Ukraine</w:t>
      </w:r>
    </w:p>
    <w:p w14:paraId="00F68D68" w14:textId="1FE97702" w:rsidR="00444B1B" w:rsidRPr="00444B1B" w:rsidRDefault="007D0732" w:rsidP="00444B1B">
      <w:pPr>
        <w:autoSpaceDE w:val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912A8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444B1B" w:rsidRPr="00444B1B">
        <w:rPr>
          <w:rFonts w:ascii="Times New Roman" w:hAnsi="Times New Roman" w:cs="Times New Roman"/>
          <w:i/>
          <w:iCs/>
          <w:sz w:val="28"/>
          <w:szCs w:val="28"/>
          <w:lang w:val="en-US"/>
        </w:rPr>
        <w:t>Leibniz Institute of Photonic Technology, Jena, Germany.</w:t>
      </w:r>
    </w:p>
    <w:p w14:paraId="2C46C478" w14:textId="41D8595E" w:rsidR="00444B1B" w:rsidRDefault="00444B1B" w:rsidP="00444B1B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44B1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Corresponding Author</w:t>
      </w:r>
      <w:r w:rsidRPr="00444B1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7D0732" w:rsidRPr="004568BD">
          <w:rPr>
            <w:rStyle w:val="ac"/>
            <w:rFonts w:ascii="Times New Roman" w:hAnsi="Times New Roman" w:cs="Times New Roman"/>
            <w:sz w:val="28"/>
            <w:szCs w:val="28"/>
            <w:lang w:val="en-US" w:eastAsia="ru-RU"/>
          </w:rPr>
          <w:t>vbatyanova5@gmail.com</w:t>
        </w:r>
      </w:hyperlink>
    </w:p>
    <w:p w14:paraId="38F9CE2E" w14:textId="77777777" w:rsidR="007D0732" w:rsidRDefault="007D0732" w:rsidP="007D0732">
      <w:pPr>
        <w:pStyle w:val="Main"/>
        <w:ind w:firstLine="708"/>
      </w:pPr>
      <w:r>
        <w:t xml:space="preserve">The miniaturization and flattening of modern optical devices demand tunable control over highly lo </w:t>
      </w:r>
      <w:proofErr w:type="spellStart"/>
      <w:r>
        <w:t>calized</w:t>
      </w:r>
      <w:proofErr w:type="spellEnd"/>
      <w:r>
        <w:t xml:space="preserve"> electromagnetic fields. While there is progress in the control of group/phase velocities and directivity patterns of localized light, its polarization properties are still difficult to manage.</w:t>
      </w:r>
    </w:p>
    <w:p w14:paraId="1466CE69" w14:textId="77777777" w:rsidR="007D0732" w:rsidRDefault="007D0732" w:rsidP="000E12B3">
      <w:pPr>
        <w:pStyle w:val="Main"/>
        <w:ind w:firstLine="708"/>
      </w:pPr>
      <w:r>
        <w:t xml:space="preserve">Optical spin angular momentum (SAM) defines polarization properties of light [1]. In particular, plane waves possess longitudinal SAM (parallel to the wave propagation direction), while conventional sur face plasmon-polaritons at the metal-dielectric interface have purely transverse SAM (perpendicularly to the wave propagation direction). This phenomenon of strict connection between the wave propagation and SAM is known as spin-momentum locking [2], or robust spin-directional coupling [3]. The gap in the SAM </w:t>
      </w:r>
      <w:proofErr w:type="spellStart"/>
      <w:r>
        <w:t>manipula</w:t>
      </w:r>
      <w:proofErr w:type="spellEnd"/>
      <w:r>
        <w:t xml:space="preserve"> </w:t>
      </w:r>
      <w:proofErr w:type="spellStart"/>
      <w:r>
        <w:t>tion</w:t>
      </w:r>
      <w:proofErr w:type="spellEnd"/>
      <w:r>
        <w:t xml:space="preserve"> between the purely longitudinal and transverse states limits polarization control and design flexibility in nanophotonic systems. Anisotropic </w:t>
      </w:r>
      <w:proofErr w:type="spellStart"/>
      <w:r>
        <w:t>metasurfaces</w:t>
      </w:r>
      <w:proofErr w:type="spellEnd"/>
      <w:r>
        <w:t xml:space="preserve"> were previously introduced to partially overcome this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tion</w:t>
      </w:r>
      <w:proofErr w:type="spellEnd"/>
      <w:r>
        <w:t xml:space="preserve"> by enabling hybrid TE-TM polarization modes and extended in-plane spin control via the nanostructures designing [2]. Nevertheless, the possible SAM directions remain limited.</w:t>
      </w:r>
    </w:p>
    <w:p w14:paraId="0E96605E" w14:textId="77777777" w:rsidR="007D0732" w:rsidRDefault="007D0732" w:rsidP="007D0732">
      <w:pPr>
        <w:pStyle w:val="Main"/>
        <w:ind w:firstLine="708"/>
      </w:pPr>
      <w:r>
        <w:t xml:space="preserve">The recent discovery of the shear hyperbolic </w:t>
      </w:r>
      <w:proofErr w:type="spellStart"/>
      <w:r>
        <w:t>metasurfaces</w:t>
      </w:r>
      <w:proofErr w:type="spellEnd"/>
      <w:r>
        <w:t xml:space="preserve"> [4] opens new opportunities for the in-plane SAM manipulation. Shear hyperbolic </w:t>
      </w:r>
      <w:proofErr w:type="spellStart"/>
      <w:r>
        <w:t>metasurfaces</w:t>
      </w:r>
      <w:proofErr w:type="spellEnd"/>
      <w:r>
        <w:t xml:space="preserve"> are two-dimensional (2D) structures engineered to support surface modes of hyperbolic dispersion with frequency-dependent optical </w:t>
      </w:r>
      <w:proofErr w:type="spellStart"/>
      <w:proofErr w:type="gramStart"/>
      <w:r>
        <w:t>axis.They</w:t>
      </w:r>
      <w:proofErr w:type="spellEnd"/>
      <w:proofErr w:type="gramEnd"/>
      <w:r>
        <w:t xml:space="preserve"> are composed of two </w:t>
      </w:r>
      <w:proofErr w:type="spellStart"/>
      <w:r>
        <w:t>orthog</w:t>
      </w:r>
      <w:proofErr w:type="spellEnd"/>
      <w:r>
        <w:t xml:space="preserve"> </w:t>
      </w:r>
      <w:proofErr w:type="spellStart"/>
      <w:r>
        <w:t>onal</w:t>
      </w:r>
      <w:proofErr w:type="spellEnd"/>
      <w:r>
        <w:t xml:space="preserve"> sets of subwavelength dipole resonators: one aligned along a principal axis (typically the x-axis), and the other rotated by a tunable angle θ.</w:t>
      </w:r>
    </w:p>
    <w:p w14:paraId="07FA618A" w14:textId="77777777" w:rsidR="007D0732" w:rsidRDefault="007D0732" w:rsidP="007D0732">
      <w:pPr>
        <w:pStyle w:val="Main"/>
        <w:ind w:firstLine="708"/>
      </w:pPr>
      <w:r>
        <w:t xml:space="preserve"> In this work, we show that shear hyperbolic </w:t>
      </w:r>
      <w:proofErr w:type="spellStart"/>
      <w:r>
        <w:t>metasurfaces</w:t>
      </w:r>
      <w:proofErr w:type="spellEnd"/>
      <w:r>
        <w:t xml:space="preserve"> provide broader control over the propagation direction and the angle between the SAM and wave propagation direction compared to other two-dimensional anisotropic systems. The improved tunability allows access to a wider range of polarization states and directional spin configurations, making them particularly promising for spin-based </w:t>
      </w:r>
      <w:proofErr w:type="spellStart"/>
      <w:r>
        <w:t>photoniс</w:t>
      </w:r>
      <w:proofErr w:type="spellEnd"/>
      <w:r>
        <w:t xml:space="preserve"> applications. In addition to spin control properties, shear hyperbolic </w:t>
      </w:r>
      <w:proofErr w:type="spellStart"/>
      <w:r>
        <w:t>metasurfaces</w:t>
      </w:r>
      <w:proofErr w:type="spellEnd"/>
      <w:r>
        <w:t xml:space="preserve"> also support canalization regimes, enabling </w:t>
      </w:r>
      <w:proofErr w:type="spellStart"/>
      <w:r>
        <w:t>diffractionless</w:t>
      </w:r>
      <w:proofErr w:type="spellEnd"/>
      <w:r>
        <w:t xml:space="preserve">, highly directional energy propagation [5]. </w:t>
      </w:r>
    </w:p>
    <w:p w14:paraId="09FFDFC4" w14:textId="2B7CAA99" w:rsidR="001B7524" w:rsidRDefault="007D0732" w:rsidP="007D0732">
      <w:pPr>
        <w:pStyle w:val="Main"/>
        <w:ind w:firstLine="708"/>
      </w:pPr>
      <w:r>
        <w:t xml:space="preserve">This dual functionality makes them a </w:t>
      </w:r>
      <w:proofErr w:type="spellStart"/>
      <w:r>
        <w:t>promis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platform for next-generation photonic and opto-spintronic devices. Their ability to simultaneously route energy and tune polarization and spin states at the nanoscale is essential for the development of compact, highly integrated optical systems.</w:t>
      </w:r>
    </w:p>
    <w:p w14:paraId="68A983A6" w14:textId="77777777" w:rsidR="007D0732" w:rsidRPr="001B7524" w:rsidRDefault="007D0732" w:rsidP="007D0732">
      <w:pPr>
        <w:pStyle w:val="Main"/>
        <w:ind w:firstLine="708"/>
        <w:rPr>
          <w:sz w:val="28"/>
          <w:szCs w:val="28"/>
        </w:rPr>
      </w:pPr>
    </w:p>
    <w:p w14:paraId="430B3E88" w14:textId="77777777" w:rsidR="007D0732" w:rsidRPr="007D0732" w:rsidRDefault="001B7524" w:rsidP="001B752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D07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[1] </w:t>
      </w:r>
      <w:r w:rsidR="007D0732" w:rsidRPr="007D0732">
        <w:rPr>
          <w:rFonts w:ascii="Times New Roman" w:hAnsi="Times New Roman" w:cs="Times New Roman"/>
          <w:sz w:val="24"/>
          <w:szCs w:val="24"/>
        </w:rPr>
        <w:t xml:space="preserve">K. Y.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Bliokh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>., 9(12), 796–808 (2015)</w:t>
      </w:r>
      <w:r w:rsidR="007D0732" w:rsidRPr="007D07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4DDF7ADF" w14:textId="77777777" w:rsidR="007D0732" w:rsidRPr="007D0732" w:rsidRDefault="001B7524" w:rsidP="001B75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07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[2] </w:t>
      </w:r>
      <w:r w:rsidR="007D0732" w:rsidRPr="007D0732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Mechelen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Optica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>, 3(2), 118–126 (2016)</w:t>
      </w:r>
      <w:r w:rsidR="007D0732" w:rsidRPr="007D0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7DFD5B" w14:textId="53F4B8D5" w:rsidR="001B7524" w:rsidRPr="007D0732" w:rsidRDefault="001B7524" w:rsidP="001B75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0732"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7D0732" w:rsidRPr="007D0732">
        <w:rPr>
          <w:rFonts w:ascii="Times New Roman" w:hAnsi="Times New Roman" w:cs="Times New Roman"/>
          <w:sz w:val="24"/>
          <w:szCs w:val="24"/>
        </w:rPr>
        <w:t xml:space="preserve">K. Y.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Bliokh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Nori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>, 592, 1–38 (2015)</w:t>
      </w:r>
    </w:p>
    <w:p w14:paraId="4B53D1A7" w14:textId="5C61D005" w:rsidR="001B7524" w:rsidRPr="007D0732" w:rsidRDefault="001B7524" w:rsidP="001B7524">
      <w:pPr>
        <w:rPr>
          <w:rFonts w:ascii="Times New Roman" w:hAnsi="Times New Roman" w:cs="Times New Roman"/>
          <w:sz w:val="24"/>
          <w:szCs w:val="24"/>
        </w:rPr>
      </w:pPr>
      <w:r w:rsidRPr="007D0732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Enrico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Renzi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0732" w:rsidRPr="007D0732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7D0732" w:rsidRPr="007D0732">
        <w:rPr>
          <w:rFonts w:ascii="Times New Roman" w:hAnsi="Times New Roman" w:cs="Times New Roman"/>
          <w:sz w:val="24"/>
          <w:szCs w:val="24"/>
        </w:rPr>
        <w:t>. 132, 263803 (2024)</w:t>
      </w:r>
    </w:p>
    <w:p w14:paraId="2F762FE0" w14:textId="021D0E1B" w:rsidR="007D0732" w:rsidRPr="007D0732" w:rsidRDefault="007D0732" w:rsidP="001B75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0732">
        <w:rPr>
          <w:rFonts w:ascii="Times New Roman" w:hAnsi="Times New Roman" w:cs="Times New Roman"/>
          <w:sz w:val="24"/>
          <w:szCs w:val="24"/>
          <w:lang w:val="en-US"/>
        </w:rPr>
        <w:t>[5]</w:t>
      </w:r>
      <w:r w:rsidRPr="007D0732">
        <w:rPr>
          <w:rFonts w:ascii="Times New Roman" w:hAnsi="Times New Roman" w:cs="Times New Roman"/>
          <w:sz w:val="24"/>
          <w:szCs w:val="24"/>
        </w:rPr>
        <w:t xml:space="preserve"> O. Y. </w:t>
      </w:r>
      <w:proofErr w:type="spellStart"/>
      <w:r w:rsidRPr="007D0732">
        <w:rPr>
          <w:rFonts w:ascii="Times New Roman" w:hAnsi="Times New Roman" w:cs="Times New Roman"/>
          <w:sz w:val="24"/>
          <w:szCs w:val="24"/>
        </w:rPr>
        <w:t>Yermakov</w:t>
      </w:r>
      <w:proofErr w:type="spellEnd"/>
      <w:r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3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D073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D073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D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3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D0732">
        <w:rPr>
          <w:rFonts w:ascii="Times New Roman" w:hAnsi="Times New Roman" w:cs="Times New Roman"/>
          <w:sz w:val="24"/>
          <w:szCs w:val="24"/>
        </w:rPr>
        <w:t xml:space="preserve"> B, 94(7), 075446 (2016)</w:t>
      </w:r>
    </w:p>
    <w:p w14:paraId="516BD889" w14:textId="77777777" w:rsidR="00F5219F" w:rsidRPr="00444B1B" w:rsidRDefault="00F5219F">
      <w:pPr>
        <w:rPr>
          <w:lang w:val="en-US"/>
        </w:rPr>
      </w:pPr>
    </w:p>
    <w:sectPr w:rsidR="00F5219F" w:rsidRPr="00444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1B"/>
    <w:rsid w:val="00014C6A"/>
    <w:rsid w:val="000E12B3"/>
    <w:rsid w:val="001B7524"/>
    <w:rsid w:val="00444B1B"/>
    <w:rsid w:val="00697280"/>
    <w:rsid w:val="007D0732"/>
    <w:rsid w:val="00912A8A"/>
    <w:rsid w:val="00C46868"/>
    <w:rsid w:val="00F5219F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614E"/>
  <w15:chartTrackingRefBased/>
  <w15:docId w15:val="{772D7DD1-8794-40AD-9A38-8552E7C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B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B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B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B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B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B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B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B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B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B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B1B"/>
    <w:rPr>
      <w:b/>
      <w:bCs/>
      <w:smallCaps/>
      <w:color w:val="2F5496" w:themeColor="accent1" w:themeShade="BF"/>
      <w:spacing w:val="5"/>
    </w:rPr>
  </w:style>
  <w:style w:type="paragraph" w:customStyle="1" w:styleId="Authors">
    <w:name w:val="Authors"/>
    <w:basedOn w:val="a"/>
    <w:next w:val="a"/>
    <w:qFormat/>
    <w:rsid w:val="00444B1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en-US" w:eastAsia="ru-RU"/>
      <w14:ligatures w14:val="none"/>
    </w:rPr>
  </w:style>
  <w:style w:type="paragraph" w:customStyle="1" w:styleId="Main">
    <w:name w:val="Main"/>
    <w:link w:val="Main0"/>
    <w:qFormat/>
    <w:rsid w:val="00444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customStyle="1" w:styleId="Organizations">
    <w:name w:val="Organizations"/>
    <w:basedOn w:val="Main"/>
    <w:qFormat/>
    <w:rsid w:val="00444B1B"/>
    <w:pPr>
      <w:ind w:firstLine="0"/>
      <w:jc w:val="center"/>
    </w:pPr>
    <w:rPr>
      <w:i/>
    </w:rPr>
  </w:style>
  <w:style w:type="character" w:customStyle="1" w:styleId="Main0">
    <w:name w:val="Main Знак"/>
    <w:link w:val="Main"/>
    <w:locked/>
    <w:rsid w:val="00444B1B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styleId="ac">
    <w:name w:val="Hyperlink"/>
    <w:basedOn w:val="a0"/>
    <w:uiPriority w:val="99"/>
    <w:unhideWhenUsed/>
    <w:rsid w:val="00444B1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4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batyanov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Грінченко</dc:creator>
  <cp:keywords/>
  <dc:description/>
  <cp:lastModifiedBy>Вероника Батянова</cp:lastModifiedBy>
  <cp:revision>5</cp:revision>
  <dcterms:created xsi:type="dcterms:W3CDTF">2025-06-03T11:00:00Z</dcterms:created>
  <dcterms:modified xsi:type="dcterms:W3CDTF">2025-06-03T12:08:00Z</dcterms:modified>
</cp:coreProperties>
</file>