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D3" w:rsidRPr="00C25FBF" w:rsidRDefault="00C25FBF" w:rsidP="004525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25FBF">
        <w:rPr>
          <w:rFonts w:ascii="Times New Roman" w:hAnsi="Times New Roman" w:cs="Times New Roman"/>
          <w:sz w:val="32"/>
          <w:szCs w:val="32"/>
          <w:lang w:val="en-US"/>
        </w:rPr>
        <w:t xml:space="preserve">INFLUENCE OF CLUSTER POLARIZATION ON SPECTRUM AND ELASTIC PROCESSES IN </w:t>
      </w:r>
      <w:r w:rsidRPr="00C25FB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 w:rsidRPr="00C25FBF">
        <w:rPr>
          <w:rFonts w:ascii="Times New Roman" w:hAnsi="Times New Roman" w:cs="Times New Roman"/>
          <w:sz w:val="32"/>
          <w:szCs w:val="32"/>
          <w:lang w:val="en-US"/>
        </w:rPr>
        <w:t xml:space="preserve">LI </w:t>
      </w:r>
    </w:p>
    <w:p w:rsidR="005F439F" w:rsidRPr="00926503" w:rsidRDefault="005F439F" w:rsidP="00452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215D" w:rsidRDefault="004525D3" w:rsidP="004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5FBF">
        <w:rPr>
          <w:rFonts w:ascii="Times New Roman" w:hAnsi="Times New Roman" w:cs="Times New Roman"/>
          <w:b/>
          <w:sz w:val="28"/>
          <w:szCs w:val="28"/>
          <w:lang w:val="en-US"/>
        </w:rPr>
        <w:t>N. Kalzhigitov</w:t>
      </w:r>
    </w:p>
    <w:p w:rsidR="00C25FBF" w:rsidRPr="00C25FBF" w:rsidRDefault="00C25FBF" w:rsidP="004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25D3" w:rsidRDefault="004525D3" w:rsidP="004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C25FBF">
        <w:rPr>
          <w:rFonts w:ascii="Times New Roman" w:hAnsi="Times New Roman" w:cs="Times New Roman"/>
          <w:iCs/>
          <w:sz w:val="28"/>
          <w:szCs w:val="28"/>
          <w:lang w:val="en-US"/>
        </w:rPr>
        <w:t>Al-Farabi Kazakh National University, Almaty 050040, Kazakhstan</w:t>
      </w:r>
      <w:r w:rsidR="00C25FB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C25FBF" w:rsidRPr="00C25FBF" w:rsidRDefault="00C25FBF" w:rsidP="00452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knurto1@gmail.com</w:t>
      </w:r>
    </w:p>
    <w:p w:rsidR="009423B1" w:rsidRPr="00926503" w:rsidRDefault="009423B1" w:rsidP="00D96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39F" w:rsidRPr="00C25FBF" w:rsidRDefault="005F439F" w:rsidP="009423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F439F" w:rsidRPr="00C25FBF" w:rsidRDefault="00EE215D" w:rsidP="0092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FB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The aim of the present report is to study nature of resonance state in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Li within an extended three-cluster model. It is well-known that the nucleus </w:t>
      </w:r>
      <w:r w:rsidR="001C4F9B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has two sets of resonance states. The first set is formed by low-energy resonance states which lie close to the α</w:t>
      </w:r>
      <w:r w:rsidR="005F439F" w:rsidRPr="00A878E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5F439F" w:rsidRPr="00A878E3">
        <w:rPr>
          <w:rFonts w:ascii="Times New Roman" w:hAnsi="Times New Roman" w:cs="Times New Roman"/>
          <w:sz w:val="28"/>
          <w:szCs w:val="28"/>
          <w:lang w:val="en-GB"/>
        </w:rPr>
        <w:t xml:space="preserve">d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decay threshold and are of positive parity. There are two very narrow and three broad resonance states in the first set. The second set of resonance states consists 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of high-energy resonance states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of negative parity. They are very broad and reside above the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>He decay threshold. Diff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erent microscopic and semi-mi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croscopic models have been used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to study resonance states in </w:t>
      </w:r>
      <w:r w:rsidR="001C4F9B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. As a </w:t>
      </w:r>
      <w:r w:rsidR="00B84FA7" w:rsidRPr="00C25FBF">
        <w:rPr>
          <w:rFonts w:ascii="Times New Roman" w:hAnsi="Times New Roman" w:cs="Times New Roman"/>
          <w:sz w:val="28"/>
          <w:szCs w:val="28"/>
          <w:lang w:val="en-US"/>
        </w:rPr>
        <w:t>rule,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they h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ave been applied to investigate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either low-energy or only high-energy resonance s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tates. In the present report we study both sets of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resonance states within on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e microscopic model. This model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was formulated in Ref. [1] and is a three-cluster 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version of the resonating group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method. To study resonance states of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Li within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a large energy range the model was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advanced to take int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>o account two three-cluster confi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gurations </w:t>
      </w:r>
      <w:r w:rsidR="001C4F9B" w:rsidRPr="00C25FBF">
        <w:rPr>
          <w:rFonts w:ascii="Times New Roman" w:hAnsi="Times New Roman" w:cs="Times New Roman"/>
          <w:sz w:val="28"/>
          <w:szCs w:val="28"/>
        </w:rPr>
        <w:t>α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+ p + n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and t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p. This allows us to involve in calculations all dominant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binary chan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nels, namely, 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+ d,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p,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n and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>e. Besides, these three-cluster confi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gurations also allow us to describe more corr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ectly (adequately) the internal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structure of d,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He,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Li,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He which are r</w:t>
      </w:r>
      <w:r w:rsidR="00926503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epresented as a two-cluster configuration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p + n,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n,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p, d + p, respectively.</w:t>
      </w:r>
    </w:p>
    <w:p w:rsidR="009423B1" w:rsidRPr="00C25FBF" w:rsidRDefault="00926503" w:rsidP="0092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FB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Calculations of discrete and continuous spectrum states of </w:t>
      </w:r>
      <w:r w:rsidR="001C4F9B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are performed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with a nucleon-nucleon potential which was suggested by Tang and coworkers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and is known as the Minnesota potential [2]. Parameters of the mode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l and the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nucleon-nucleon potential were selected to re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produce the ground state energy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C4F9B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. The present model with these parame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ters fairly good reproduces the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energies and widths of the observed reson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ance states. The dominant decay </w:t>
      </w:r>
      <w:r w:rsidR="00F83FD7">
        <w:rPr>
          <w:rFonts w:ascii="Times New Roman" w:hAnsi="Times New Roman" w:cs="Times New Roman"/>
          <w:sz w:val="28"/>
          <w:szCs w:val="28"/>
          <w:lang w:val="en-US"/>
        </w:rPr>
        <w:t xml:space="preserve">channels are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found for all resonance states. The hierarchy of channels depending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on their impact on the energy of the ground and resonance states is established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It is shown that the cluster polarization, associat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ed with the ability of clusters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d,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He,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Li, </w:t>
      </w:r>
      <w:r w:rsidR="005F439F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He to change their size and sh</w:t>
      </w:r>
      <w:r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ape, plays an important role in 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 xml:space="preserve">formation of the ground state and low- and high-energy resonances in </w:t>
      </w:r>
      <w:r w:rsidR="001C4F9B" w:rsidRPr="00C25FB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="001C4F9B" w:rsidRPr="00C25FBF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F439F" w:rsidRPr="00C25F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5FBF" w:rsidRPr="001C4F9B" w:rsidRDefault="00C25FBF" w:rsidP="001C4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F9B" w:rsidRPr="00F83FD7" w:rsidRDefault="00C25FBF" w:rsidP="00E32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C4F9B" w:rsidRPr="00F83FD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[1] 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 xml:space="preserve">V. S. Vasilevsky, F. Arickx, J. Broeckhove, and T. P. Kovalenko, </w:t>
      </w:r>
      <w:r w:rsidR="00A878E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 xml:space="preserve">A microscopic three-cluster model with nuclear polarization applied to the resonances of </w:t>
      </w:r>
      <w:r w:rsidR="001C4F9B" w:rsidRPr="00F83F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7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 xml:space="preserve">Be and the reaction </w:t>
      </w:r>
      <w:r w:rsidR="001C4F9B" w:rsidRPr="00F83F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6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>Li(p,</w:t>
      </w:r>
      <w:r w:rsidR="001C4F9B" w:rsidRPr="00F83F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3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>He)</w:t>
      </w:r>
      <w:r w:rsidR="001C4F9B" w:rsidRPr="00F83F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4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>He</w:t>
      </w:r>
      <w:r w:rsidR="00A878E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A878E3">
        <w:rPr>
          <w:rFonts w:ascii="Times New Roman" w:hAnsi="Times New Roman" w:cs="Times New Roman"/>
          <w:sz w:val="26"/>
          <w:szCs w:val="26"/>
          <w:lang w:val="en-US"/>
        </w:rPr>
        <w:t>, Nucl. Phys. A, vol. 824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>, pp. 37</w:t>
      </w:r>
      <w:r w:rsidR="00A878E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>57, 2009.</w:t>
      </w:r>
    </w:p>
    <w:p w:rsidR="00C25FBF" w:rsidRPr="00F83FD7" w:rsidRDefault="00F83FD7" w:rsidP="00A25D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  <w:r w:rsidR="001C4F9B" w:rsidRPr="00F83FD7">
        <w:rPr>
          <w:rFonts w:ascii="Times New Roman" w:eastAsia="Calibri" w:hAnsi="Times New Roman" w:cs="Times New Roman"/>
          <w:sz w:val="26"/>
          <w:szCs w:val="26"/>
          <w:lang w:val="en-US"/>
        </w:rPr>
        <w:t>[</w:t>
      </w:r>
      <w:r w:rsidR="00D965E4" w:rsidRPr="00F83FD7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="001C4F9B" w:rsidRPr="00F83FD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] 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 xml:space="preserve">D. R. Thompson, M. LeMere, and Y. C. Tang, </w:t>
      </w:r>
      <w:r w:rsidR="00A878E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>Systematic investigation of scattering problems with the resonating-group method</w:t>
      </w:r>
      <w:r w:rsidR="00A878E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1C4F9B" w:rsidRPr="00F83FD7">
        <w:rPr>
          <w:rFonts w:ascii="Times New Roman" w:hAnsi="Times New Roman" w:cs="Times New Roman"/>
          <w:sz w:val="26"/>
          <w:szCs w:val="26"/>
          <w:lang w:val="en-US"/>
        </w:rPr>
        <w:t>, Nucl. Phys., vol. A286</w:t>
      </w:r>
      <w:r w:rsidR="00C25FBF" w:rsidRPr="00F83FD7">
        <w:rPr>
          <w:rFonts w:ascii="Times New Roman" w:hAnsi="Times New Roman" w:cs="Times New Roman"/>
          <w:sz w:val="26"/>
          <w:szCs w:val="26"/>
          <w:lang w:val="en-US"/>
        </w:rPr>
        <w:t>, pp. 53</w:t>
      </w:r>
      <w:r w:rsidR="00A878E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25FBF" w:rsidRPr="00F83FD7">
        <w:rPr>
          <w:rFonts w:ascii="Times New Roman" w:hAnsi="Times New Roman" w:cs="Times New Roman"/>
          <w:sz w:val="26"/>
          <w:szCs w:val="26"/>
          <w:lang w:val="en-US"/>
        </w:rPr>
        <w:t>66, 1977</w:t>
      </w:r>
      <w:r w:rsidR="00B84FA7">
        <w:rPr>
          <w:rFonts w:ascii="Times New Roman" w:hAnsi="Times New Roman" w:cs="Times New Roman"/>
          <w:sz w:val="26"/>
          <w:szCs w:val="26"/>
          <w:lang w:val="en-US"/>
        </w:rPr>
        <w:t>.</w:t>
      </w:r>
      <w:bookmarkStart w:id="0" w:name="_GoBack"/>
      <w:bookmarkEnd w:id="0"/>
    </w:p>
    <w:sectPr w:rsidR="00C25FBF" w:rsidRPr="00F8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A8" w:rsidRDefault="00CF21A8" w:rsidP="00850D3F">
      <w:pPr>
        <w:spacing w:after="0" w:line="240" w:lineRule="auto"/>
      </w:pPr>
      <w:r>
        <w:separator/>
      </w:r>
    </w:p>
  </w:endnote>
  <w:endnote w:type="continuationSeparator" w:id="0">
    <w:p w:rsidR="00CF21A8" w:rsidRDefault="00CF21A8" w:rsidP="008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A8" w:rsidRDefault="00CF21A8" w:rsidP="00850D3F">
      <w:pPr>
        <w:spacing w:after="0" w:line="240" w:lineRule="auto"/>
      </w:pPr>
      <w:r>
        <w:separator/>
      </w:r>
    </w:p>
  </w:footnote>
  <w:footnote w:type="continuationSeparator" w:id="0">
    <w:p w:rsidR="00CF21A8" w:rsidRDefault="00CF21A8" w:rsidP="0085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B10"/>
    <w:multiLevelType w:val="hybridMultilevel"/>
    <w:tmpl w:val="FFF02B9A"/>
    <w:lvl w:ilvl="0" w:tplc="C3D42954">
      <w:start w:val="1"/>
      <w:numFmt w:val="decimal"/>
      <w:lvlText w:val="%1"/>
      <w:lvlJc w:val="left"/>
      <w:pPr>
        <w:ind w:left="0" w:firstLine="42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D3"/>
    <w:rsid w:val="00054C2B"/>
    <w:rsid w:val="00145D03"/>
    <w:rsid w:val="001466B9"/>
    <w:rsid w:val="001C4F9B"/>
    <w:rsid w:val="001D4DD2"/>
    <w:rsid w:val="003476AC"/>
    <w:rsid w:val="003B5B9F"/>
    <w:rsid w:val="004525D3"/>
    <w:rsid w:val="00487889"/>
    <w:rsid w:val="0059106F"/>
    <w:rsid w:val="005F278A"/>
    <w:rsid w:val="005F439F"/>
    <w:rsid w:val="0069533E"/>
    <w:rsid w:val="006A1DEA"/>
    <w:rsid w:val="007A3C92"/>
    <w:rsid w:val="00811F7F"/>
    <w:rsid w:val="00850D3F"/>
    <w:rsid w:val="0086171C"/>
    <w:rsid w:val="00926503"/>
    <w:rsid w:val="009423B1"/>
    <w:rsid w:val="00A25DBA"/>
    <w:rsid w:val="00A878E3"/>
    <w:rsid w:val="00B51C13"/>
    <w:rsid w:val="00B84FA7"/>
    <w:rsid w:val="00C25FBF"/>
    <w:rsid w:val="00C3517D"/>
    <w:rsid w:val="00C82563"/>
    <w:rsid w:val="00C91DC0"/>
    <w:rsid w:val="00CF21A8"/>
    <w:rsid w:val="00D419C5"/>
    <w:rsid w:val="00D9475F"/>
    <w:rsid w:val="00D965E4"/>
    <w:rsid w:val="00E0445C"/>
    <w:rsid w:val="00E166F1"/>
    <w:rsid w:val="00E32545"/>
    <w:rsid w:val="00E74BC2"/>
    <w:rsid w:val="00EE215D"/>
    <w:rsid w:val="00F83FD7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C023"/>
  <w15:chartTrackingRefBased/>
  <w15:docId w15:val="{397437D8-EA49-4C7D-996A-82F8743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D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D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B4F4-5A5D-4182-9AC5-A433947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</dc:creator>
  <cp:keywords/>
  <dc:description/>
  <cp:lastModifiedBy>Victor</cp:lastModifiedBy>
  <cp:revision>3</cp:revision>
  <dcterms:created xsi:type="dcterms:W3CDTF">2021-12-06T13:27:00Z</dcterms:created>
  <dcterms:modified xsi:type="dcterms:W3CDTF">2021-12-06T13:29:00Z</dcterms:modified>
</cp:coreProperties>
</file>